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81CB" w14:textId="1309E215" w:rsidR="00B66FC6" w:rsidRDefault="00B66FC6" w:rsidP="00B66FC6">
      <w:pPr>
        <w:jc w:val="both"/>
        <w:rPr>
          <w:b/>
          <w:bCs/>
        </w:rPr>
      </w:pPr>
      <w:r w:rsidRPr="00C31322">
        <w:rPr>
          <w:b/>
          <w:bCs/>
        </w:rPr>
        <w:t>Etude des effets des rayonnements ionisants sur une chaîne trophique aquatique simplifiée</w:t>
      </w:r>
    </w:p>
    <w:p w14:paraId="67843475" w14:textId="23703463" w:rsidR="00C31322" w:rsidRPr="007F3777" w:rsidRDefault="00C31322" w:rsidP="00C31322">
      <w:pPr>
        <w:jc w:val="both"/>
      </w:pPr>
      <w:r>
        <w:rPr>
          <w:b/>
          <w:bCs/>
        </w:rPr>
        <w:t>Laboratoire d’a</w:t>
      </w:r>
      <w:r w:rsidRPr="00C31322">
        <w:rPr>
          <w:b/>
          <w:bCs/>
        </w:rPr>
        <w:t xml:space="preserve">ccueil : </w:t>
      </w:r>
      <w:r w:rsidRPr="007F3777">
        <w:t>L</w:t>
      </w:r>
      <w:r>
        <w:t>aboratoire d’écologie et d’écotoxicologie des radionucléides (LECO)</w:t>
      </w:r>
      <w:r w:rsidRPr="007F3777">
        <w:t xml:space="preserve"> Cadarache</w:t>
      </w:r>
      <w:r>
        <w:t xml:space="preserve"> (13115 St Paul lez Durance)</w:t>
      </w:r>
    </w:p>
    <w:p w14:paraId="74D846CF" w14:textId="77777777" w:rsidR="00B66FC6" w:rsidRPr="00B66FC6" w:rsidRDefault="00B66FC6" w:rsidP="00B66FC6">
      <w:pPr>
        <w:jc w:val="both"/>
        <w:rPr>
          <w:b/>
          <w:bCs/>
        </w:rPr>
      </w:pPr>
      <w:r w:rsidRPr="00B66FC6">
        <w:rPr>
          <w:b/>
          <w:bCs/>
        </w:rPr>
        <w:t>Descriptif :</w:t>
      </w:r>
    </w:p>
    <w:p w14:paraId="28216132" w14:textId="77777777" w:rsidR="00B66FC6" w:rsidRPr="00B66FC6" w:rsidRDefault="00B66FC6" w:rsidP="00B66FC6">
      <w:pPr>
        <w:jc w:val="both"/>
      </w:pPr>
      <w:r w:rsidRPr="00B66FC6">
        <w:t xml:space="preserve">Les approches actuelles d’évaluation du risque écologique reposent en général sur une caractérisation de l’exposition et une analyse des effets. L'analyse des effets repose actuellement principalement sur des données d’écotoxicologie acquises au laboratoire dans le cadre de tests monospécifiques mais aussi en </w:t>
      </w:r>
      <w:proofErr w:type="spellStart"/>
      <w:r w:rsidRPr="00B66FC6">
        <w:t>mésocosme</w:t>
      </w:r>
      <w:proofErr w:type="spellEnd"/>
      <w:r w:rsidRPr="00B66FC6">
        <w:t xml:space="preserve"> ou in </w:t>
      </w:r>
      <w:proofErr w:type="spellStart"/>
      <w:r w:rsidRPr="00B66FC6">
        <w:t>natura</w:t>
      </w:r>
      <w:proofErr w:type="spellEnd"/>
      <w:r w:rsidRPr="00B66FC6">
        <w:t xml:space="preserve"> (évaluation rétrospective d’une situation existante) lorsque celles-ci sont disponibles. Ces tests se concentrent sur des traits individuels déterminants pour la dynamique des populations. Cette approche est également utilisée pour évaluer l'impact des rayonnements ionisants (RI) sur les écosystèmes, en tenant compte de la sensibilité des différentes espèces. Cependant, les conditions expérimentales des tests en laboratoire excluent les interactions interspécifiques, pourtant essentielles au fonctionnement, à la stabilité et la résilience des écosystèmes. Par conséquent, baser l’analyse des effets des RI sur des données acquises pour des espèces isolées ne permet pas de rendre compte de la complexité des dynamiques écologiques naturelles, et peut conduire à un manque de robustesse de l’évaluation du risque. </w:t>
      </w:r>
    </w:p>
    <w:p w14:paraId="239A8785" w14:textId="77777777" w:rsidR="00B66FC6" w:rsidRPr="00B66FC6" w:rsidRDefault="00B66FC6" w:rsidP="00B66FC6">
      <w:pPr>
        <w:spacing w:after="60"/>
        <w:jc w:val="both"/>
      </w:pPr>
      <w:r w:rsidRPr="00B66FC6">
        <w:t xml:space="preserve">Les RI peuvent induire des effets directs (létaux ou </w:t>
      </w:r>
      <w:proofErr w:type="spellStart"/>
      <w:r w:rsidRPr="00B66FC6">
        <w:t>sublétaux</w:t>
      </w:r>
      <w:proofErr w:type="spellEnd"/>
      <w:r w:rsidRPr="00B66FC6">
        <w:t xml:space="preserve">) sur les organismes les plus sensibles, avec des conséquences au niveau populationnel. Ces changements au niveau des populations peuvent ensuite entraîner des effets en cascade sur les autres espèces avec lesquelles cette espèce interagit (effets indirects), pouvant affecter la structure et fonctionnement d’un écosystème. Dans ce contexte, les interactions trophiques sont particulièrement importantes car elles déterminent la manière dont l'énergie et les nutriments circulent à travers les différents niveaux du réseau trophique, des producteurs primaires jusqu’aux consommateurs supérieurs. </w:t>
      </w:r>
    </w:p>
    <w:p w14:paraId="1171D358" w14:textId="77777777" w:rsidR="00B66FC6" w:rsidRPr="00B66FC6" w:rsidRDefault="00B66FC6" w:rsidP="00B66FC6">
      <w:pPr>
        <w:spacing w:after="60"/>
        <w:jc w:val="both"/>
      </w:pPr>
      <w:r w:rsidRPr="00B66FC6">
        <w:t xml:space="preserve">Afin de mieux appréhender ces dynamiques, l’utilisation de systèmes expérimentaux multi-espèces en laboratoire, notamment dans des expériences en microcosme, constitue une approche prometteuse. Ces dispositifs permettent de reproduire la complexité des communautés naturelles et de leurs interactions trophiques, tout en ciblant des fonctions écologiques clés telles que les flux d’énergie et de matière au sein du réseau trophique. Bien qu’ils représentent un outil puissant pour étudier les réponses écologiques aux perturbations, leur application en radioécologie demeure limitée à quelques études.  </w:t>
      </w:r>
    </w:p>
    <w:p w14:paraId="56C58832" w14:textId="77777777" w:rsidR="00B66FC6" w:rsidRPr="00B66FC6" w:rsidRDefault="00B66FC6" w:rsidP="00B66FC6">
      <w:pPr>
        <w:spacing w:after="60"/>
        <w:jc w:val="both"/>
      </w:pPr>
      <w:r w:rsidRPr="00B66FC6">
        <w:t>Cette thèse vise à combler ce manque en explorant les réponses structurelles et fonctionnelles d’un réseau trophique aquatique simplifié (producteur primaire, consommateurs primaires et secondaires) exposé aux RI. Les principales missions sont :</w:t>
      </w:r>
    </w:p>
    <w:p w14:paraId="7306CCF6" w14:textId="77777777" w:rsidR="00B66FC6" w:rsidRPr="00B66FC6" w:rsidRDefault="00B66FC6" w:rsidP="00B66FC6">
      <w:pPr>
        <w:spacing w:after="60"/>
        <w:jc w:val="both"/>
      </w:pPr>
      <w:r w:rsidRPr="00B66FC6">
        <w:t>(1)         Mesurer les effets des RI sur la structure et la dynamique d’un réseau trophique aquatique simple à l’aide d’un microcosme.</w:t>
      </w:r>
    </w:p>
    <w:p w14:paraId="66F201A9" w14:textId="77777777" w:rsidR="00B66FC6" w:rsidRPr="00B66FC6" w:rsidRDefault="00B66FC6" w:rsidP="00B66FC6">
      <w:pPr>
        <w:spacing w:after="60"/>
        <w:jc w:val="both"/>
      </w:pPr>
      <w:r w:rsidRPr="00B66FC6">
        <w:t>(2)         Modéliser les impacts des RI sur les dynamiques de populations et sur des fonctions écologiques clés : production primaire, consommation primaire et production secondaire.</w:t>
      </w:r>
    </w:p>
    <w:p w14:paraId="6D3699D1" w14:textId="77777777" w:rsidR="00B66FC6" w:rsidRPr="00B66FC6" w:rsidRDefault="00B66FC6" w:rsidP="00B66FC6">
      <w:pPr>
        <w:spacing w:after="60"/>
        <w:jc w:val="both"/>
      </w:pPr>
      <w:r w:rsidRPr="00B66FC6">
        <w:t>(3)         Comparer la radiosensibilité du réseau trophique à celle des espèces prises isolément sur la base des traits phénotypiques, de dynamiques des populations et liés aux fonctions écologiques.</w:t>
      </w:r>
    </w:p>
    <w:p w14:paraId="41AF6B64" w14:textId="77777777" w:rsidR="00B66FC6" w:rsidRPr="00B66FC6" w:rsidRDefault="00B66FC6" w:rsidP="00B66FC6">
      <w:pPr>
        <w:jc w:val="both"/>
      </w:pPr>
      <w:r w:rsidRPr="00B66FC6">
        <w:t>Les trois espèces ciblées pour composer la chaine trophique au sein du microcosme sont une microalgue (</w:t>
      </w:r>
      <w:proofErr w:type="spellStart"/>
      <w:r w:rsidRPr="00B66FC6">
        <w:rPr>
          <w:i/>
          <w:iCs/>
        </w:rPr>
        <w:t>Raphidocelis</w:t>
      </w:r>
      <w:proofErr w:type="spellEnd"/>
      <w:r w:rsidRPr="00B66FC6">
        <w:rPr>
          <w:i/>
          <w:iCs/>
        </w:rPr>
        <w:t xml:space="preserve"> </w:t>
      </w:r>
      <w:proofErr w:type="spellStart"/>
      <w:r w:rsidRPr="00B66FC6">
        <w:rPr>
          <w:i/>
          <w:iCs/>
        </w:rPr>
        <w:t>subcapitata</w:t>
      </w:r>
      <w:proofErr w:type="spellEnd"/>
      <w:r w:rsidRPr="00B66FC6">
        <w:t>), une espèce de daphnie (</w:t>
      </w:r>
      <w:proofErr w:type="spellStart"/>
      <w:r w:rsidRPr="00B66FC6">
        <w:rPr>
          <w:i/>
          <w:iCs/>
        </w:rPr>
        <w:t>Daphnia</w:t>
      </w:r>
      <w:proofErr w:type="spellEnd"/>
      <w:r w:rsidRPr="00B66FC6">
        <w:rPr>
          <w:i/>
          <w:iCs/>
        </w:rPr>
        <w:t xml:space="preserve"> magna</w:t>
      </w:r>
      <w:r w:rsidRPr="00B66FC6">
        <w:t xml:space="preserve">) et une espèce </w:t>
      </w:r>
      <w:r w:rsidRPr="00B66FC6">
        <w:lastRenderedPageBreak/>
        <w:t>d’hydre (</w:t>
      </w:r>
      <w:r w:rsidRPr="00B66FC6">
        <w:rPr>
          <w:i/>
          <w:iCs/>
        </w:rPr>
        <w:t xml:space="preserve">Hydra </w:t>
      </w:r>
      <w:proofErr w:type="spellStart"/>
      <w:r w:rsidRPr="00B66FC6">
        <w:rPr>
          <w:i/>
          <w:iCs/>
        </w:rPr>
        <w:t>oligactis</w:t>
      </w:r>
      <w:proofErr w:type="spellEnd"/>
      <w:r w:rsidRPr="00B66FC6">
        <w:t xml:space="preserve">). Ces trois espèces ont été sélectionnées car (i) elles représentent trois niveaux trophiques distincts (producteur primaire, consommateur primaire et consommateur secondaire), (ii) c’est une des rares chaines trophiques de trois espèces fonctionnelles en eau douce et (iii) le LECO et ses partenaires bénéficient d’une expertise solide sur ces espèces et leur utilisation dans un contexte multi spécifique.  </w:t>
      </w:r>
    </w:p>
    <w:p w14:paraId="6F0D4FD1" w14:textId="77777777" w:rsidR="00B66FC6" w:rsidRPr="00B66FC6" w:rsidRDefault="00B66FC6" w:rsidP="00B66FC6">
      <w:pPr>
        <w:jc w:val="both"/>
        <w:rPr>
          <w:b/>
          <w:bCs/>
        </w:rPr>
      </w:pPr>
      <w:proofErr w:type="spellStart"/>
      <w:r w:rsidRPr="00B66FC6">
        <w:rPr>
          <w:b/>
          <w:bCs/>
        </w:rPr>
        <w:t>Directeur.s</w:t>
      </w:r>
      <w:proofErr w:type="spellEnd"/>
      <w:r w:rsidRPr="00B66FC6">
        <w:rPr>
          <w:b/>
          <w:bCs/>
        </w:rPr>
        <w:t>/</w:t>
      </w:r>
      <w:proofErr w:type="spellStart"/>
      <w:r w:rsidRPr="00B66FC6">
        <w:rPr>
          <w:b/>
          <w:bCs/>
        </w:rPr>
        <w:t>Directrice.s</w:t>
      </w:r>
      <w:proofErr w:type="spellEnd"/>
      <w:r w:rsidRPr="00B66FC6">
        <w:rPr>
          <w:b/>
          <w:bCs/>
        </w:rPr>
        <w:t> :</w:t>
      </w:r>
    </w:p>
    <w:p w14:paraId="6CBC0520" w14:textId="77777777" w:rsidR="00B66FC6" w:rsidRPr="00B66FC6" w:rsidRDefault="00B66FC6" w:rsidP="00B66FC6">
      <w:pPr>
        <w:jc w:val="both"/>
      </w:pPr>
      <w:r w:rsidRPr="00B66FC6">
        <w:t>Sébastien Alfonso, ASNR – co-directeur de thèse</w:t>
      </w:r>
    </w:p>
    <w:p w14:paraId="041D94BD" w14:textId="77777777" w:rsidR="00B66FC6" w:rsidRPr="00B66FC6" w:rsidRDefault="00B66FC6" w:rsidP="00B66FC6">
      <w:pPr>
        <w:jc w:val="both"/>
      </w:pPr>
      <w:r w:rsidRPr="00B66FC6">
        <w:t>Xavier Moreau, IMBE – co-directeur de thèse</w:t>
      </w:r>
    </w:p>
    <w:p w14:paraId="7DDFD0BA" w14:textId="77777777" w:rsidR="00B66FC6" w:rsidRPr="00B66FC6" w:rsidRDefault="00B66FC6" w:rsidP="00B66FC6">
      <w:pPr>
        <w:jc w:val="both"/>
      </w:pPr>
      <w:r w:rsidRPr="00B66FC6">
        <w:t>Frédéric Alonzo, ASNR – co-directeur de thèse</w:t>
      </w:r>
    </w:p>
    <w:p w14:paraId="4A177FE2" w14:textId="77777777" w:rsidR="00B66FC6" w:rsidRPr="00B66FC6" w:rsidRDefault="00B66FC6" w:rsidP="00B66FC6">
      <w:pPr>
        <w:jc w:val="both"/>
        <w:rPr>
          <w:b/>
          <w:bCs/>
        </w:rPr>
      </w:pPr>
      <w:r w:rsidRPr="00B66FC6">
        <w:rPr>
          <w:b/>
          <w:bCs/>
        </w:rPr>
        <w:t xml:space="preserve">Email de contact : </w:t>
      </w:r>
    </w:p>
    <w:p w14:paraId="0291D7DF" w14:textId="77777777" w:rsidR="00B66FC6" w:rsidRPr="00B66FC6" w:rsidRDefault="00B66FC6" w:rsidP="00B66FC6">
      <w:pPr>
        <w:jc w:val="both"/>
      </w:pPr>
      <w:hyperlink r:id="rId4" w:history="1">
        <w:r w:rsidRPr="00B66FC6">
          <w:rPr>
            <w:rStyle w:val="Lienhypertexte"/>
          </w:rPr>
          <w:t>Sebastien.alfonso@asnr.fr</w:t>
        </w:r>
      </w:hyperlink>
    </w:p>
    <w:p w14:paraId="423010F1" w14:textId="77777777" w:rsidR="007145C9" w:rsidRDefault="007145C9" w:rsidP="00B66FC6">
      <w:pPr>
        <w:jc w:val="both"/>
      </w:pPr>
    </w:p>
    <w:sectPr w:rsidR="007145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6"/>
    <w:rsid w:val="001A1B2D"/>
    <w:rsid w:val="007145C9"/>
    <w:rsid w:val="008832ED"/>
    <w:rsid w:val="00893D61"/>
    <w:rsid w:val="00AF74D1"/>
    <w:rsid w:val="00B66FC6"/>
    <w:rsid w:val="00C313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0A4E"/>
  <w15:chartTrackingRefBased/>
  <w15:docId w15:val="{F15ADBBF-0419-498C-821F-30439F3C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66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66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66FC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66FC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66FC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66F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6F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6F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6F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6FC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66FC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66FC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66FC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66FC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66F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6F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6F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6FC6"/>
    <w:rPr>
      <w:rFonts w:eastAsiaTheme="majorEastAsia" w:cstheme="majorBidi"/>
      <w:color w:val="272727" w:themeColor="text1" w:themeTint="D8"/>
    </w:rPr>
  </w:style>
  <w:style w:type="paragraph" w:styleId="Titre">
    <w:name w:val="Title"/>
    <w:basedOn w:val="Normal"/>
    <w:next w:val="Normal"/>
    <w:link w:val="TitreCar"/>
    <w:uiPriority w:val="10"/>
    <w:qFormat/>
    <w:rsid w:val="00B66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6F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6F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6F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6FC6"/>
    <w:pPr>
      <w:spacing w:before="160"/>
      <w:jc w:val="center"/>
    </w:pPr>
    <w:rPr>
      <w:i/>
      <w:iCs/>
      <w:color w:val="404040" w:themeColor="text1" w:themeTint="BF"/>
    </w:rPr>
  </w:style>
  <w:style w:type="character" w:customStyle="1" w:styleId="CitationCar">
    <w:name w:val="Citation Car"/>
    <w:basedOn w:val="Policepardfaut"/>
    <w:link w:val="Citation"/>
    <w:uiPriority w:val="29"/>
    <w:rsid w:val="00B66FC6"/>
    <w:rPr>
      <w:i/>
      <w:iCs/>
      <w:color w:val="404040" w:themeColor="text1" w:themeTint="BF"/>
    </w:rPr>
  </w:style>
  <w:style w:type="paragraph" w:styleId="Paragraphedeliste">
    <w:name w:val="List Paragraph"/>
    <w:basedOn w:val="Normal"/>
    <w:uiPriority w:val="34"/>
    <w:qFormat/>
    <w:rsid w:val="00B66FC6"/>
    <w:pPr>
      <w:ind w:left="720"/>
      <w:contextualSpacing/>
    </w:pPr>
  </w:style>
  <w:style w:type="character" w:styleId="Accentuationintense">
    <w:name w:val="Intense Emphasis"/>
    <w:basedOn w:val="Policepardfaut"/>
    <w:uiPriority w:val="21"/>
    <w:qFormat/>
    <w:rsid w:val="00B66FC6"/>
    <w:rPr>
      <w:i/>
      <w:iCs/>
      <w:color w:val="0F4761" w:themeColor="accent1" w:themeShade="BF"/>
    </w:rPr>
  </w:style>
  <w:style w:type="paragraph" w:styleId="Citationintense">
    <w:name w:val="Intense Quote"/>
    <w:basedOn w:val="Normal"/>
    <w:next w:val="Normal"/>
    <w:link w:val="CitationintenseCar"/>
    <w:uiPriority w:val="30"/>
    <w:qFormat/>
    <w:rsid w:val="00B66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66FC6"/>
    <w:rPr>
      <w:i/>
      <w:iCs/>
      <w:color w:val="0F4761" w:themeColor="accent1" w:themeShade="BF"/>
    </w:rPr>
  </w:style>
  <w:style w:type="character" w:styleId="Rfrenceintense">
    <w:name w:val="Intense Reference"/>
    <w:basedOn w:val="Policepardfaut"/>
    <w:uiPriority w:val="32"/>
    <w:qFormat/>
    <w:rsid w:val="00B66FC6"/>
    <w:rPr>
      <w:b/>
      <w:bCs/>
      <w:smallCaps/>
      <w:color w:val="0F4761" w:themeColor="accent1" w:themeShade="BF"/>
      <w:spacing w:val="5"/>
    </w:rPr>
  </w:style>
  <w:style w:type="character" w:styleId="Lienhypertexte">
    <w:name w:val="Hyperlink"/>
    <w:basedOn w:val="Policepardfaut"/>
    <w:uiPriority w:val="99"/>
    <w:unhideWhenUsed/>
    <w:rsid w:val="00B66FC6"/>
    <w:rPr>
      <w:color w:val="467886" w:themeColor="hyperlink"/>
      <w:u w:val="single"/>
    </w:rPr>
  </w:style>
  <w:style w:type="character" w:styleId="Mentionnonrsolue">
    <w:name w:val="Unresolved Mention"/>
    <w:basedOn w:val="Policepardfaut"/>
    <w:uiPriority w:val="99"/>
    <w:semiHidden/>
    <w:unhideWhenUsed/>
    <w:rsid w:val="00B6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bastien.alfonso@asn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660</Words>
  <Characters>3636</Characters>
  <Application>Microsoft Office Word</Application>
  <DocSecurity>0</DocSecurity>
  <Lines>30</Lines>
  <Paragraphs>8</Paragraphs>
  <ScaleCrop>false</ScaleCrop>
  <Company>IRSN</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FRELON Sandrine</dc:creator>
  <cp:keywords/>
  <dc:description/>
  <cp:lastModifiedBy>FRELON Sandrine</cp:lastModifiedBy>
  <cp:revision>2</cp:revision>
  <dcterms:created xsi:type="dcterms:W3CDTF">2026-03-31T06:44:00Z</dcterms:created>
  <dcterms:modified xsi:type="dcterms:W3CDTF">2026-03-31T07:21:00Z</dcterms:modified>
</cp:coreProperties>
</file>